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18"/>
        <w:gridCol w:w="4032"/>
      </w:tblGrid>
      <w:tr w:rsidR="00060D55" w:rsidTr="00F1618D">
        <w:tc>
          <w:tcPr>
            <w:tcW w:w="6418" w:type="dxa"/>
          </w:tcPr>
          <w:p w:rsidR="00060D55" w:rsidRPr="00EE6098" w:rsidRDefault="00574A8A" w:rsidP="00574A8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060D55" w:rsidRPr="00EE6098">
              <w:rPr>
                <w:b/>
                <w:sz w:val="24"/>
                <w:szCs w:val="24"/>
              </w:rPr>
              <w:t>UNIDAD nº</w:t>
            </w:r>
            <w:r w:rsidR="002C567E" w:rsidRPr="00EE6098">
              <w:rPr>
                <w:b/>
                <w:sz w:val="24"/>
                <w:szCs w:val="24"/>
              </w:rPr>
              <w:t xml:space="preserve"> 1</w:t>
            </w:r>
          </w:p>
          <w:p w:rsidR="00060D55" w:rsidRPr="00EE6098" w:rsidRDefault="00574A8A" w:rsidP="00574A8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</w:t>
            </w:r>
            <w:r w:rsidR="00060D55" w:rsidRPr="00EE6098">
              <w:rPr>
                <w:b/>
                <w:sz w:val="24"/>
                <w:szCs w:val="24"/>
              </w:rPr>
              <w:t>GUÍA nº</w:t>
            </w:r>
            <w:r w:rsidR="002C567E" w:rsidRPr="00EE6098">
              <w:rPr>
                <w:b/>
                <w:sz w:val="24"/>
                <w:szCs w:val="24"/>
              </w:rPr>
              <w:t xml:space="preserve"> 6</w:t>
            </w:r>
          </w:p>
          <w:p w:rsidR="00060D55" w:rsidRPr="00EE6098" w:rsidRDefault="00574A8A" w:rsidP="00574A8A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060D55" w:rsidRPr="00EE6098">
              <w:rPr>
                <w:b/>
                <w:sz w:val="24"/>
                <w:szCs w:val="24"/>
              </w:rPr>
              <w:t>CONTENIDO:</w:t>
            </w:r>
            <w:r w:rsidR="002C567E" w:rsidRPr="00EE6098">
              <w:rPr>
                <w:b/>
                <w:sz w:val="24"/>
                <w:szCs w:val="24"/>
              </w:rPr>
              <w:t xml:space="preserve"> Narraciones</w:t>
            </w:r>
          </w:p>
          <w:p w:rsidR="00060D55" w:rsidRDefault="00574A8A" w:rsidP="00574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</w:t>
            </w:r>
            <w:bookmarkStart w:id="0" w:name="_GoBack"/>
            <w:bookmarkEnd w:id="0"/>
            <w:r w:rsidR="00060D55" w:rsidRPr="00EE6098">
              <w:rPr>
                <w:b/>
                <w:sz w:val="24"/>
                <w:szCs w:val="24"/>
              </w:rPr>
              <w:t>LENGUAJE Y COMUNICACIÓN</w:t>
            </w:r>
          </w:p>
        </w:tc>
        <w:tc>
          <w:tcPr>
            <w:tcW w:w="4032" w:type="dxa"/>
          </w:tcPr>
          <w:p w:rsidR="00060D55" w:rsidRDefault="00060D55" w:rsidP="00060D55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CURSO: </w:t>
            </w:r>
            <w:r w:rsidR="00802199">
              <w:rPr>
                <w:b/>
                <w:sz w:val="16"/>
                <w:szCs w:val="16"/>
              </w:rPr>
              <w:t>6º básico</w:t>
            </w:r>
            <w:r>
              <w:rPr>
                <w:b/>
                <w:sz w:val="16"/>
                <w:szCs w:val="16"/>
              </w:rPr>
              <w:t xml:space="preserve">          </w:t>
            </w:r>
          </w:p>
          <w:p w:rsidR="00060D55" w:rsidRDefault="00060D55" w:rsidP="00802199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DOCENTE:</w:t>
            </w:r>
            <w:r w:rsidR="00802199">
              <w:rPr>
                <w:b/>
                <w:sz w:val="16"/>
                <w:szCs w:val="16"/>
              </w:rPr>
              <w:t xml:space="preserve"> Valentina Allende </w:t>
            </w:r>
            <w:r w:rsidR="00802199">
              <w:rPr>
                <w:b/>
                <w:sz w:val="16"/>
                <w:szCs w:val="16"/>
              </w:rPr>
              <w:br/>
              <w:t>Valentina Basso</w:t>
            </w:r>
            <w:r w:rsidR="00802199">
              <w:rPr>
                <w:b/>
                <w:sz w:val="16"/>
                <w:szCs w:val="16"/>
              </w:rPr>
              <w:br/>
              <w:t>Alondra Gaete</w:t>
            </w:r>
            <w:r w:rsidR="002C567E">
              <w:rPr>
                <w:b/>
                <w:sz w:val="16"/>
                <w:szCs w:val="16"/>
              </w:rPr>
              <w:t xml:space="preserve"> </w:t>
            </w:r>
          </w:p>
          <w:p w:rsidR="00F1618D" w:rsidRPr="00060D55" w:rsidRDefault="00B53D7E" w:rsidP="00802199">
            <w:pPr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CORREO:</w:t>
            </w:r>
            <w:r w:rsidR="002C567E">
              <w:rPr>
                <w:b/>
                <w:sz w:val="16"/>
                <w:szCs w:val="16"/>
              </w:rPr>
              <w:t xml:space="preserve"> </w:t>
            </w:r>
            <w:hyperlink r:id="rId6" w:history="1">
              <w:r w:rsidR="00802199" w:rsidRPr="003B1DE5">
                <w:rPr>
                  <w:rStyle w:val="Hipervnculo"/>
                  <w:b/>
                  <w:sz w:val="16"/>
                  <w:szCs w:val="16"/>
                </w:rPr>
                <w:t>vallende@soceduc.cl</w:t>
              </w:r>
            </w:hyperlink>
            <w:r w:rsidR="00802199">
              <w:rPr>
                <w:b/>
                <w:sz w:val="16"/>
                <w:szCs w:val="16"/>
              </w:rPr>
              <w:br/>
            </w:r>
            <w:hyperlink r:id="rId7" w:history="1">
              <w:r w:rsidR="00802199" w:rsidRPr="003B1DE5">
                <w:rPr>
                  <w:rStyle w:val="Hipervnculo"/>
                  <w:b/>
                  <w:sz w:val="16"/>
                  <w:szCs w:val="16"/>
                </w:rPr>
                <w:t>vbasso@soceduc.cl</w:t>
              </w:r>
            </w:hyperlink>
            <w:r w:rsidR="00802199">
              <w:rPr>
                <w:b/>
                <w:sz w:val="16"/>
                <w:szCs w:val="16"/>
              </w:rPr>
              <w:br/>
            </w:r>
            <w:hyperlink r:id="rId8" w:history="1">
              <w:r w:rsidR="00802199" w:rsidRPr="003B1DE5">
                <w:rPr>
                  <w:rStyle w:val="Hipervnculo"/>
                  <w:b/>
                  <w:sz w:val="16"/>
                  <w:szCs w:val="16"/>
                </w:rPr>
                <w:t>alondra.gaete@soceduc.cl</w:t>
              </w:r>
            </w:hyperlink>
          </w:p>
        </w:tc>
      </w:tr>
    </w:tbl>
    <w:p w:rsidR="00F1618D" w:rsidRDefault="00F1618D" w:rsidP="00F1618D">
      <w:pPr>
        <w:rPr>
          <w:sz w:val="24"/>
          <w:szCs w:val="24"/>
        </w:rPr>
      </w:pPr>
    </w:p>
    <w:p w:rsidR="00F1618D" w:rsidRPr="00F1618D" w:rsidRDefault="00F1618D" w:rsidP="00F1618D">
      <w:pPr>
        <w:rPr>
          <w:sz w:val="24"/>
          <w:szCs w:val="24"/>
        </w:rPr>
      </w:pPr>
      <w:r>
        <w:rPr>
          <w:sz w:val="24"/>
          <w:szCs w:val="24"/>
        </w:rPr>
        <w:t>Nombre: ____________________________________________________________________________</w:t>
      </w:r>
    </w:p>
    <w:tbl>
      <w:tblPr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F1618D" w:rsidTr="00D65D83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7E20" w:rsidRPr="00EC34A2" w:rsidRDefault="00CD15F9" w:rsidP="00802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Objetivo</w:t>
            </w:r>
            <w:r w:rsidR="00F1618D">
              <w:rPr>
                <w:b/>
              </w:rPr>
              <w:t xml:space="preserve">: </w:t>
            </w:r>
            <w:r w:rsidR="00730038">
              <w:rPr>
                <w:b/>
              </w:rPr>
              <w:br/>
            </w:r>
            <w:r w:rsidR="00ED7E20">
              <w:rPr>
                <w:b/>
              </w:rPr>
              <w:t xml:space="preserve">OA 1: </w:t>
            </w:r>
            <w:r w:rsidR="00ED7E20" w:rsidRPr="00ED7E20">
              <w:t>Leer de manera fluida textos variados apropiados a su edad: › pronunciando las palabras con precisión › respetando la prosodia indicada por todos los signos de puntuación › decodificando de manera automática la mayoría de las palabras del texto</w:t>
            </w:r>
            <w:r w:rsidR="00802199">
              <w:t>.</w:t>
            </w:r>
            <w:r w:rsidR="00802199">
              <w:br/>
            </w:r>
            <w:r w:rsidR="00ED7E20">
              <w:rPr>
                <w:b/>
              </w:rPr>
              <w:t xml:space="preserve">OA 2: </w:t>
            </w:r>
            <w:r w:rsidR="00ED7E20">
              <w:t>Comprender textos aplicando estrategias de comprensión lectora: relacionar la información del texto con sus experiencias y conocimientos.</w:t>
            </w:r>
            <w:r w:rsidR="00802199">
              <w:br/>
            </w:r>
            <w:r w:rsidR="00ED7E20">
              <w:rPr>
                <w:b/>
              </w:rPr>
              <w:t xml:space="preserve">OA3: </w:t>
            </w:r>
            <w:r w:rsidR="00865E8D">
              <w:t>Leer y familiarizarse con un amplio repertorio de literatura para aumentar su conocimiento del mundo, desarrollar su imaginación y reconocer su valor social y cultural.</w:t>
            </w:r>
            <w:r w:rsidR="00802199">
              <w:br/>
            </w:r>
            <w:r w:rsidR="00ED7E20">
              <w:rPr>
                <w:b/>
              </w:rPr>
              <w:t xml:space="preserve">OA4: </w:t>
            </w:r>
            <w:r w:rsidR="00416462">
              <w:t>Analizar aspectos relevantes de las narraciones leídas para profundizar su comprensión: haciendo inferencias a partir de la información del texto y de sus experiencias y conocimientos.</w:t>
            </w:r>
          </w:p>
        </w:tc>
      </w:tr>
    </w:tbl>
    <w:p w:rsidR="00F1618D" w:rsidRDefault="00F1618D" w:rsidP="00F161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tbl>
      <w:tblPr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F1618D" w:rsidTr="00F1618D">
        <w:trPr>
          <w:trHeight w:val="1484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5E4" w:rsidRDefault="00F1618D" w:rsidP="000F35E4">
            <w:pPr>
              <w:widowControl w:val="0"/>
              <w:spacing w:line="240" w:lineRule="auto"/>
              <w:jc w:val="both"/>
            </w:pPr>
            <w:r>
              <w:rPr>
                <w:b/>
              </w:rPr>
              <w:t xml:space="preserve">Instrucciones generales: </w:t>
            </w:r>
            <w:r w:rsidR="00EE6098">
              <w:t>A continuación se presentan l</w:t>
            </w:r>
            <w:r w:rsidR="000F35E4">
              <w:t>as actividades de cada clase correspondiente a los días de la semana de la asignatura</w:t>
            </w:r>
            <w:r w:rsidR="00EE6098">
              <w:t xml:space="preserve">. Esto, con el objetivo de guiar el proceso de aprendizaje. Sin embargo, </w:t>
            </w:r>
            <w:r w:rsidR="00EE6098" w:rsidRPr="00EE6098">
              <w:rPr>
                <w:b/>
                <w:color w:val="FF0000"/>
              </w:rPr>
              <w:t>LA ÚNICA ACTIVIDAD QUE DEBEN HACER DE FORMA AUTÓNOMA Y ASINCRÓNICA (SIN CONECTARSE) ES LA QUE ESTÁ EN AMARRILO</w:t>
            </w:r>
            <w:r w:rsidR="00EE6098">
              <w:t>, las otras actividades y contenidos los veremos en las clases sincrónicas (virtuales).</w:t>
            </w:r>
            <w:r w:rsidR="000F35E4">
              <w:br/>
            </w:r>
            <w:r w:rsidR="000F35E4" w:rsidRPr="007B0F75">
              <w:rPr>
                <w:b/>
              </w:rPr>
              <w:t xml:space="preserve">Las actividades asincrónicas se suben a la TAREA de </w:t>
            </w:r>
            <w:proofErr w:type="spellStart"/>
            <w:r w:rsidR="000F35E4" w:rsidRPr="007B0F75">
              <w:rPr>
                <w:b/>
              </w:rPr>
              <w:t>classroom</w:t>
            </w:r>
            <w:proofErr w:type="spellEnd"/>
            <w:r w:rsidR="000F35E4" w:rsidRPr="007B0F75">
              <w:rPr>
                <w:b/>
              </w:rPr>
              <w:t xml:space="preserve"> </w:t>
            </w:r>
            <w:r w:rsidR="007B0F75" w:rsidRPr="007B0F75">
              <w:rPr>
                <w:b/>
              </w:rPr>
              <w:t>asignada para ello, en forma de FOTOS CLARAS</w:t>
            </w:r>
            <w:r w:rsidR="007B0F75">
              <w:t xml:space="preserve"> y se revisarán y retroalimentarán de forma general en clases. </w:t>
            </w:r>
          </w:p>
          <w:p w:rsidR="00086DAB" w:rsidRPr="00EE6098" w:rsidRDefault="00086DAB" w:rsidP="000F35E4">
            <w:pPr>
              <w:widowControl w:val="0"/>
              <w:spacing w:line="240" w:lineRule="auto"/>
              <w:jc w:val="both"/>
            </w:pPr>
            <w:r w:rsidRPr="00086DAB">
              <w:rPr>
                <w:b/>
              </w:rPr>
              <w:t>*IMPORTANTE</w:t>
            </w:r>
            <w:r>
              <w:t xml:space="preserve">: CADA CURSO DEBE GUIARSE SEGÚN SU DÍA ESTIPULADO PARA CLASES ASINCRÓNICAS Y SINCRÓNICAS. </w:t>
            </w:r>
          </w:p>
        </w:tc>
      </w:tr>
    </w:tbl>
    <w:p w:rsidR="000430F2" w:rsidRPr="00EF78C0" w:rsidRDefault="000430F2" w:rsidP="00EF78C0">
      <w:pPr>
        <w:spacing w:line="240" w:lineRule="auto"/>
        <w:jc w:val="center"/>
        <w:rPr>
          <w:b/>
        </w:rPr>
      </w:pPr>
    </w:p>
    <w:tbl>
      <w:tblPr>
        <w:tblW w:w="101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4281"/>
        <w:gridCol w:w="4866"/>
      </w:tblGrid>
      <w:tr w:rsidR="006C6CDB" w:rsidRPr="00EE6098" w:rsidTr="006C6CDB">
        <w:trPr>
          <w:trHeight w:val="17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CDB" w:rsidRPr="00CE2302" w:rsidRDefault="00086DAB" w:rsidP="00EE60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s-ES" w:eastAsia="es-ES"/>
              </w:rPr>
              <w:t xml:space="preserve">Clase </w:t>
            </w:r>
            <w:r w:rsidR="006C6CDB" w:rsidRPr="00CE230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s-ES" w:eastAsia="es-ES"/>
              </w:rPr>
              <w:t>Asincrónica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6C6CDB" w:rsidRPr="00125040" w:rsidRDefault="00125040" w:rsidP="0012504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OA 1:</w:t>
            </w:r>
            <w:r>
              <w:rPr>
                <w:rFonts w:ascii="Calibri" w:hAnsi="Calibri"/>
                <w:color w:val="000000"/>
              </w:rPr>
              <w:t xml:space="preserve"> Leer de manera fluida textos variados apropiados a su edad:</w:t>
            </w:r>
            <w:r>
              <w:rPr>
                <w:rFonts w:ascii="Calibri" w:hAnsi="Calibri"/>
                <w:color w:val="000000"/>
              </w:rPr>
              <w:br/>
              <w:t>› pronunciando las palabras con precisión</w:t>
            </w:r>
            <w:r>
              <w:rPr>
                <w:rFonts w:ascii="Calibri" w:hAnsi="Calibri"/>
                <w:color w:val="000000"/>
              </w:rPr>
              <w:br/>
              <w:t>› respetando la prosodia indicada por</w:t>
            </w:r>
            <w:r>
              <w:rPr>
                <w:rFonts w:ascii="Calibri" w:hAnsi="Calibri"/>
                <w:color w:val="000000"/>
              </w:rPr>
              <w:br/>
              <w:t>todos los signos de puntuación</w:t>
            </w:r>
            <w:r>
              <w:rPr>
                <w:rFonts w:ascii="Calibri" w:hAnsi="Calibri"/>
                <w:color w:val="000000"/>
              </w:rPr>
              <w:br/>
              <w:t>› decodificando de manera automática</w:t>
            </w:r>
            <w:r>
              <w:rPr>
                <w:rFonts w:ascii="Calibri" w:hAnsi="Calibri"/>
                <w:color w:val="000000"/>
              </w:rPr>
              <w:br/>
              <w:t xml:space="preserve">la mayoría de las palabras del texto </w:t>
            </w:r>
            <w:r>
              <w:rPr>
                <w:rFonts w:ascii="Calibri" w:hAnsi="Calibri"/>
                <w:b/>
                <w:bCs/>
                <w:color w:val="000000"/>
              </w:rPr>
              <w:t>- OA 2:</w:t>
            </w:r>
            <w:r>
              <w:rPr>
                <w:rFonts w:ascii="Calibri" w:hAnsi="Calibri"/>
                <w:color w:val="000000"/>
              </w:rPr>
              <w:t xml:space="preserve"> Comprender textos aplicando estrategias de comprensión lectora:</w:t>
            </w:r>
            <w:r>
              <w:rPr>
                <w:rFonts w:ascii="Calibri" w:hAnsi="Calibri"/>
                <w:color w:val="000000"/>
              </w:rPr>
              <w:br/>
              <w:t xml:space="preserve">› relacionar la información del texto con sus </w:t>
            </w:r>
            <w:r>
              <w:rPr>
                <w:rFonts w:ascii="Calibri" w:hAnsi="Calibri"/>
                <w:color w:val="000000"/>
              </w:rPr>
              <w:lastRenderedPageBreak/>
              <w:t>experiencias y conocimientos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CE2302" w:rsidRDefault="00CE2302" w:rsidP="00CE23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Páginas del libro: 6 y 7</w:t>
            </w:r>
            <w:r>
              <w:rPr>
                <w:rFonts w:ascii="Calibri" w:hAnsi="Calibri"/>
                <w:color w:val="000000"/>
              </w:rPr>
              <w:t xml:space="preserve">. Lee en voz alta " Los rituales de la fiesta del año nuevo chino" (Clara </w:t>
            </w:r>
            <w:proofErr w:type="spellStart"/>
            <w:r>
              <w:rPr>
                <w:rFonts w:ascii="Calibri" w:hAnsi="Calibri"/>
                <w:color w:val="000000"/>
              </w:rPr>
              <w:t>Serer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Martínez) de la página 6 y 7. Relee el texto para responder en tu cuaderno de forma escrita las preguntas 1, 2 y 3 de la página 7.</w:t>
            </w:r>
          </w:p>
          <w:p w:rsidR="006C6CDB" w:rsidRPr="00CE2302" w:rsidRDefault="006C6CDB" w:rsidP="00EE6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6C6CDB" w:rsidRPr="00EE6098" w:rsidTr="006C6CDB">
        <w:trPr>
          <w:trHeight w:val="1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6CDB" w:rsidRPr="00CE2302" w:rsidRDefault="00086DAB" w:rsidP="00EE60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s-ES" w:eastAsia="es-ES"/>
              </w:rPr>
              <w:t>Clase 1</w:t>
            </w:r>
            <w:r w:rsidR="006C6CDB" w:rsidRPr="00CE230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s-ES" w:eastAsia="es-ES"/>
              </w:rPr>
              <w:t xml:space="preserve"> - Sincrónica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DB" w:rsidRPr="00125040" w:rsidRDefault="00125040" w:rsidP="0012504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OA 3: </w:t>
            </w:r>
            <w:r>
              <w:rPr>
                <w:rFonts w:ascii="Calibri" w:hAnsi="Calibri"/>
                <w:color w:val="000000"/>
              </w:rPr>
              <w:t>Leer y familiarizarse con un amplio</w:t>
            </w:r>
            <w:r>
              <w:rPr>
                <w:rFonts w:ascii="Calibri" w:hAnsi="Calibri"/>
                <w:color w:val="000000"/>
              </w:rPr>
              <w:br/>
              <w:t>repertorio de literatura para aumentar</w:t>
            </w:r>
            <w:r>
              <w:rPr>
                <w:rFonts w:ascii="Calibri" w:hAnsi="Calibri"/>
                <w:color w:val="000000"/>
              </w:rPr>
              <w:br/>
              <w:t>su conocimiento del mundo, desarrollar su imaginación y reconocer su valor</w:t>
            </w:r>
            <w:r>
              <w:rPr>
                <w:rFonts w:ascii="Calibri" w:hAnsi="Calibri"/>
                <w:color w:val="000000"/>
              </w:rPr>
              <w:br/>
              <w:t xml:space="preserve">social y cultural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- OA 2: </w:t>
            </w:r>
            <w:r>
              <w:rPr>
                <w:rFonts w:ascii="Calibri" w:hAnsi="Calibri"/>
                <w:color w:val="000000"/>
              </w:rPr>
              <w:t>Comprender textos aplicando estrategias de comprensión lectora:</w:t>
            </w:r>
            <w:r>
              <w:rPr>
                <w:rFonts w:ascii="Calibri" w:hAnsi="Calibri"/>
                <w:color w:val="000000"/>
              </w:rPr>
              <w:br/>
              <w:t>› relacionar la información del texto con sus experiencias y conocimientos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302" w:rsidRDefault="00CE2302" w:rsidP="00CE230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Página del libro: 10</w:t>
            </w:r>
            <w:r>
              <w:rPr>
                <w:rFonts w:ascii="Calibri" w:hAnsi="Calibri"/>
                <w:color w:val="000000"/>
              </w:rPr>
              <w:t>. Lee el texto "Los manatíes inspiraron las leyendas sobre las sirenas" (</w:t>
            </w:r>
            <w:proofErr w:type="spellStart"/>
            <w:r>
              <w:rPr>
                <w:rFonts w:ascii="Calibri" w:hAnsi="Calibri"/>
                <w:color w:val="000000"/>
              </w:rPr>
              <w:t>National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Geographic</w:t>
            </w:r>
            <w:proofErr w:type="spellEnd"/>
            <w:r>
              <w:rPr>
                <w:rFonts w:ascii="Calibri" w:hAnsi="Calibri"/>
                <w:color w:val="000000"/>
              </w:rPr>
              <w:t>) de la página 10. Relee el texto para responder en tu cuaderno de forma escrita las preguntas 1, 2 y 3 de la página 10.</w:t>
            </w:r>
          </w:p>
          <w:p w:rsidR="006C6CDB" w:rsidRPr="00CE2302" w:rsidRDefault="006C6CDB" w:rsidP="00EE60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C6CDB" w:rsidRPr="00EE6098" w:rsidTr="006C6CDB">
        <w:trPr>
          <w:trHeight w:val="151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6CDB" w:rsidRPr="00CE2302" w:rsidRDefault="00086DAB" w:rsidP="00EE60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s-ES" w:eastAsia="es-ES"/>
              </w:rPr>
              <w:t>Clase 2</w:t>
            </w:r>
            <w:r w:rsidR="006C6CDB" w:rsidRPr="00CE230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s-ES" w:eastAsia="es-ES"/>
              </w:rPr>
              <w:t xml:space="preserve"> - Sincrónica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CDB" w:rsidRPr="00125040" w:rsidRDefault="00E608E2" w:rsidP="0012504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OA 4: </w:t>
            </w:r>
            <w:r>
              <w:rPr>
                <w:rFonts w:ascii="Calibri" w:hAnsi="Calibri"/>
                <w:color w:val="000000"/>
              </w:rPr>
              <w:t xml:space="preserve">Analizar aspectos relevantes de las narraciones leídas para profundizar su comprensión: › identificando las acciones principales del relato y explicando cómo influyen en el desarrollo de la historia -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OA 2: </w:t>
            </w:r>
            <w:r>
              <w:rPr>
                <w:rFonts w:ascii="Calibri" w:hAnsi="Calibri"/>
                <w:color w:val="000000"/>
              </w:rPr>
              <w:t>Comprender textos aplicando estrategias de comprensión lectora:</w:t>
            </w:r>
            <w:r>
              <w:rPr>
                <w:rFonts w:ascii="Calibri" w:hAnsi="Calibri"/>
                <w:color w:val="000000"/>
              </w:rPr>
              <w:br/>
              <w:t>› relacionar la información del texto con sus experiencias y conocimientos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302" w:rsidRDefault="00CE2302" w:rsidP="00CE23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Páginas del libro: 14, 15, 16, 17, 18 y 19. </w:t>
            </w:r>
            <w:r>
              <w:rPr>
                <w:rFonts w:ascii="Calibri" w:hAnsi="Calibri"/>
                <w:color w:val="000000"/>
              </w:rPr>
              <w:t xml:space="preserve">Escribe en tu cuaderno los pasos de la estrategia de lectura para forman una secuencia narrativa (página 19: pasos 1, 2 y 3). Lee el texto "La fuente de la buena </w:t>
            </w:r>
            <w:proofErr w:type="spellStart"/>
            <w:r>
              <w:rPr>
                <w:rFonts w:ascii="Calibri" w:hAnsi="Calibri"/>
                <w:color w:val="000000"/>
              </w:rPr>
              <w:t>fortunade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" (J.K. Rowling) de la página 14 a la 18. Luego, relee para responder de forma escrita en tu cuaderno la pregunta 2, letras a, b y c y la pregunta  4 letra a de la página 19. </w:t>
            </w:r>
          </w:p>
          <w:p w:rsidR="006C6CDB" w:rsidRPr="00CE2302" w:rsidRDefault="006C6CDB" w:rsidP="00EE60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4F620C" w:rsidRPr="003F019B" w:rsidRDefault="00D94927" w:rsidP="003F019B">
      <w:pPr>
        <w:spacing w:line="240" w:lineRule="auto"/>
        <w:jc w:val="center"/>
        <w:rPr>
          <w:b/>
          <w:color w:val="FF0000"/>
        </w:rPr>
      </w:pPr>
      <w:r>
        <w:rPr>
          <w:b/>
          <w:color w:val="FF0000"/>
        </w:rPr>
        <w:t>*Sujeto a modificaciones</w:t>
      </w:r>
      <w:r w:rsidR="009D3082" w:rsidRPr="007F307D">
        <w:rPr>
          <w:b/>
          <w:color w:val="FF0000"/>
        </w:rPr>
        <w:t xml:space="preserve"> s</w:t>
      </w:r>
      <w:r w:rsidR="003F019B">
        <w:rPr>
          <w:b/>
          <w:color w:val="FF0000"/>
        </w:rPr>
        <w:t>egún contingencia y necesidades.</w:t>
      </w:r>
    </w:p>
    <w:sectPr w:rsidR="004F620C" w:rsidRPr="003F019B" w:rsidSect="00EE609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656" w:rsidRDefault="00460656" w:rsidP="00060D55">
      <w:pPr>
        <w:spacing w:after="0" w:line="240" w:lineRule="auto"/>
      </w:pPr>
      <w:r>
        <w:separator/>
      </w:r>
    </w:p>
  </w:endnote>
  <w:endnote w:type="continuationSeparator" w:id="0">
    <w:p w:rsidR="00460656" w:rsidRDefault="00460656" w:rsidP="0006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656" w:rsidRDefault="00460656" w:rsidP="00060D55">
      <w:pPr>
        <w:spacing w:after="0" w:line="240" w:lineRule="auto"/>
      </w:pPr>
      <w:r>
        <w:separator/>
      </w:r>
    </w:p>
  </w:footnote>
  <w:footnote w:type="continuationSeparator" w:id="0">
    <w:p w:rsidR="00460656" w:rsidRDefault="00460656" w:rsidP="0006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55" w:rsidRDefault="00060D55" w:rsidP="00060D55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W w:w="1045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07"/>
      <w:gridCol w:w="4817"/>
      <w:gridCol w:w="3026"/>
    </w:tblGrid>
    <w:tr w:rsidR="00060D55" w:rsidTr="00060D55">
      <w:tc>
        <w:tcPr>
          <w:tcW w:w="2607" w:type="dxa"/>
          <w:tcBorders>
            <w:bottom w:val="single" w:sz="4" w:space="0" w:color="000000"/>
          </w:tcBorders>
        </w:tcPr>
        <w:p w:rsidR="00060D55" w:rsidRDefault="00060D55" w:rsidP="00D65D83">
          <w:pPr>
            <w:spacing w:line="24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L"/>
            </w:rPr>
            <w:drawing>
              <wp:inline distT="0" distB="0" distL="0" distR="0" wp14:anchorId="3DE27817" wp14:editId="3425DCDA">
                <wp:extent cx="676275" cy="771525"/>
                <wp:effectExtent l="0" t="0" r="0" b="0"/>
                <wp:docPr id="88" name="image1.png" descr="Descripción: logocema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logocema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7" w:type="dxa"/>
          <w:tcBorders>
            <w:bottom w:val="single" w:sz="4" w:space="0" w:color="000000"/>
          </w:tcBorders>
        </w:tcPr>
        <w:p w:rsidR="00060D55" w:rsidRDefault="00060D55" w:rsidP="00D65D8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COMPLEJO EDUCACIONAL MAIPÚ ANEXO RINCONADA</w:t>
          </w:r>
        </w:p>
        <w:p w:rsidR="00060D55" w:rsidRDefault="00060D55" w:rsidP="00D65D8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“Educando en valores, construimos futuro”</w:t>
          </w:r>
        </w:p>
        <w:p w:rsidR="00060D55" w:rsidRDefault="00060D55" w:rsidP="002D217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Script MT Bold" w:eastAsia="Script MT Bold" w:hAnsi="Script MT Bold" w:cs="Script MT Bold"/>
              <w:color w:val="000000"/>
              <w:sz w:val="18"/>
              <w:szCs w:val="18"/>
            </w:rPr>
          </w:pPr>
          <w:r>
            <w:rPr>
              <w:rFonts w:ascii="Script MT Bold" w:eastAsia="Script MT Bold" w:hAnsi="Script MT Bold" w:cs="Script MT Bold"/>
              <w:color w:val="000000"/>
              <w:sz w:val="20"/>
              <w:szCs w:val="20"/>
            </w:rPr>
            <w:t>202</w:t>
          </w:r>
          <w:r>
            <w:rPr>
              <w:rFonts w:ascii="Script MT Bold" w:eastAsia="Script MT Bold" w:hAnsi="Script MT Bold" w:cs="Script MT Bold"/>
              <w:sz w:val="20"/>
              <w:szCs w:val="20"/>
            </w:rPr>
            <w:t>1</w:t>
          </w:r>
          <w:r>
            <w:rPr>
              <w:rFonts w:ascii="Script MT Bold" w:eastAsia="Script MT Bold" w:hAnsi="Script MT Bold" w:cs="Script MT Bold"/>
              <w:color w:val="000000"/>
              <w:sz w:val="20"/>
              <w:szCs w:val="20"/>
            </w:rPr>
            <w:t xml:space="preserve"> Año de la </w:t>
          </w:r>
          <w:r w:rsidR="002D2174">
            <w:rPr>
              <w:rFonts w:ascii="Script MT Bold" w:eastAsia="Script MT Bold" w:hAnsi="Script MT Bold" w:cs="Script MT Bold"/>
              <w:color w:val="000000"/>
              <w:sz w:val="20"/>
              <w:szCs w:val="20"/>
            </w:rPr>
            <w:t>Resiliencia</w:t>
          </w:r>
        </w:p>
      </w:tc>
      <w:tc>
        <w:tcPr>
          <w:tcW w:w="3026" w:type="dxa"/>
          <w:tcBorders>
            <w:bottom w:val="single" w:sz="4" w:space="0" w:color="000000"/>
          </w:tcBorders>
        </w:tcPr>
        <w:p w:rsidR="00060D55" w:rsidRDefault="00060D55" w:rsidP="00D65D83">
          <w:pPr>
            <w:spacing w:line="240" w:lineRule="auto"/>
            <w:jc w:val="right"/>
          </w:pPr>
          <w:r>
            <w:rPr>
              <w:noProof/>
              <w:sz w:val="20"/>
              <w:szCs w:val="20"/>
              <w:lang w:eastAsia="es-CL"/>
            </w:rPr>
            <w:drawing>
              <wp:inline distT="0" distB="0" distL="0" distR="0" wp14:anchorId="2B967083" wp14:editId="456718D9">
                <wp:extent cx="704850" cy="704850"/>
                <wp:effectExtent l="0" t="0" r="0" b="0"/>
                <wp:docPr id="8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60D55" w:rsidRPr="00060D55" w:rsidRDefault="00060D55" w:rsidP="00060D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55"/>
    <w:rsid w:val="00005045"/>
    <w:rsid w:val="000430F2"/>
    <w:rsid w:val="00060D55"/>
    <w:rsid w:val="00086DAB"/>
    <w:rsid w:val="000F2574"/>
    <w:rsid w:val="000F35E4"/>
    <w:rsid w:val="00125040"/>
    <w:rsid w:val="00132553"/>
    <w:rsid w:val="00152812"/>
    <w:rsid w:val="00155260"/>
    <w:rsid w:val="00284F2C"/>
    <w:rsid w:val="002C567E"/>
    <w:rsid w:val="002D2174"/>
    <w:rsid w:val="002D61EF"/>
    <w:rsid w:val="00307B7A"/>
    <w:rsid w:val="003F019B"/>
    <w:rsid w:val="00402717"/>
    <w:rsid w:val="00416462"/>
    <w:rsid w:val="00431B25"/>
    <w:rsid w:val="0045042C"/>
    <w:rsid w:val="00460656"/>
    <w:rsid w:val="004752DB"/>
    <w:rsid w:val="004E0928"/>
    <w:rsid w:val="004E4D38"/>
    <w:rsid w:val="004F620C"/>
    <w:rsid w:val="005300FE"/>
    <w:rsid w:val="00574A8A"/>
    <w:rsid w:val="005C6BDB"/>
    <w:rsid w:val="00630527"/>
    <w:rsid w:val="006C513C"/>
    <w:rsid w:val="006C6CDB"/>
    <w:rsid w:val="0070086C"/>
    <w:rsid w:val="00730038"/>
    <w:rsid w:val="00764E4D"/>
    <w:rsid w:val="007B0F75"/>
    <w:rsid w:val="007F307D"/>
    <w:rsid w:val="00802199"/>
    <w:rsid w:val="00816719"/>
    <w:rsid w:val="00865E8D"/>
    <w:rsid w:val="008B2C24"/>
    <w:rsid w:val="009D3082"/>
    <w:rsid w:val="009E72EE"/>
    <w:rsid w:val="00A242C3"/>
    <w:rsid w:val="00A349BE"/>
    <w:rsid w:val="00B1154F"/>
    <w:rsid w:val="00B53D7E"/>
    <w:rsid w:val="00BF7795"/>
    <w:rsid w:val="00CD15F9"/>
    <w:rsid w:val="00CE2302"/>
    <w:rsid w:val="00CF1366"/>
    <w:rsid w:val="00CF303F"/>
    <w:rsid w:val="00D03C99"/>
    <w:rsid w:val="00D94927"/>
    <w:rsid w:val="00DC5188"/>
    <w:rsid w:val="00E608E2"/>
    <w:rsid w:val="00E972F3"/>
    <w:rsid w:val="00EC34A2"/>
    <w:rsid w:val="00ED7E20"/>
    <w:rsid w:val="00EE6098"/>
    <w:rsid w:val="00EF78C0"/>
    <w:rsid w:val="00F1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C5ADE2-835B-4507-B725-64CF0E3F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D5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60D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D55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D55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EF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F13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ndra.gaete@soceduc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basso@soceduc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lende@soceduc.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UTP</cp:lastModifiedBy>
  <cp:revision>54</cp:revision>
  <cp:lastPrinted>2021-05-24T20:18:00Z</cp:lastPrinted>
  <dcterms:created xsi:type="dcterms:W3CDTF">2021-05-10T19:57:00Z</dcterms:created>
  <dcterms:modified xsi:type="dcterms:W3CDTF">2021-05-25T13:05:00Z</dcterms:modified>
</cp:coreProperties>
</file>